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A5CBE86" wp14:editId="53061FAE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286E90" w:rsidP="00ED3B84">
      <w:pPr>
        <w:spacing w:line="360" w:lineRule="auto"/>
        <w:jc w:val="center"/>
        <w:rPr>
          <w:b/>
        </w:rPr>
      </w:pPr>
      <w:r>
        <w:rPr>
          <w:b/>
        </w:rPr>
        <w:t>2016/17</w:t>
      </w:r>
      <w:r w:rsidR="00FD256D">
        <w:rPr>
          <w:b/>
        </w:rPr>
        <w:t>. tanév 2</w:t>
      </w:r>
      <w:r w:rsidR="00ED3B84" w:rsidRPr="00ED3B84">
        <w:rPr>
          <w:b/>
        </w:rPr>
        <w:t>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152C24" w:rsidRPr="00152C24">
        <w:t>Ágazati Gazdaságtan és Módszertan Intézet / DE IK Alk. Mat. és Valsz.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 w:rsidR="00FD256D">
        <w:t xml:space="preserve">: </w:t>
      </w:r>
      <w:r w:rsidR="00ED13EB">
        <w:t>Gazd</w:t>
      </w:r>
      <w:r w:rsidR="00FD256D">
        <w:t>álkodási és menedzsment és Nemzetközi gazdálkodási</w:t>
      </w:r>
      <w:r w:rsidR="00AF0B7B">
        <w:t xml:space="preserve"> alapszakok</w:t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17771A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17771A">
        <w:rPr>
          <w:b/>
        </w:rPr>
        <w:t xml:space="preserve"> </w:t>
      </w:r>
      <w:r w:rsidR="00ED3B84" w:rsidRPr="00ED3B84">
        <w:rPr>
          <w:b/>
        </w:rPr>
        <w:t>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9F4B64">
        <w:rPr>
          <w:rFonts w:ascii="Garamond" w:hAnsi="Garamond" w:cs="Garamond"/>
          <w:b/>
          <w:lang w:eastAsia="ar-SA"/>
        </w:rPr>
        <w:t>I.</w:t>
      </w:r>
      <w:r w:rsidR="009F4B64">
        <w:rPr>
          <w:rFonts w:ascii="Garamond" w:hAnsi="Garamond" w:cs="Garamond"/>
          <w:lang w:eastAsia="ar-SA"/>
        </w:rPr>
        <w:t xml:space="preserve"> KTA10072</w:t>
      </w:r>
      <w:r w:rsidR="00941183">
        <w:rPr>
          <w:rFonts w:ascii="Garamond" w:hAnsi="Garamond" w:cs="Garamond"/>
          <w:lang w:eastAsia="ar-SA"/>
        </w:rPr>
        <w:t>, GT_AGMN</w:t>
      </w:r>
      <w:r w:rsidR="00941183" w:rsidRPr="00FF3E34">
        <w:rPr>
          <w:rFonts w:ascii="Garamond" w:hAnsi="Garamond" w:cs="Garamond"/>
          <w:lang w:eastAsia="ar-SA"/>
        </w:rPr>
        <w:t>025</w:t>
      </w:r>
      <w:r w:rsidR="00941183">
        <w:rPr>
          <w:rFonts w:ascii="Garamond" w:hAnsi="Garamond" w:cs="Garamond"/>
          <w:lang w:eastAsia="ar-SA"/>
        </w:rPr>
        <w:t>, GT_ANGN</w:t>
      </w:r>
      <w:r w:rsidR="00941183" w:rsidRPr="00FF3E34">
        <w:rPr>
          <w:rFonts w:ascii="Garamond" w:hAnsi="Garamond" w:cs="Garamond"/>
          <w:lang w:eastAsia="ar-SA"/>
        </w:rPr>
        <w:t>025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 w:rsidR="009F4B64">
        <w:t xml:space="preserve"> </w:t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F4B64">
        <w:t xml:space="preserve"> kredit</w:t>
      </w:r>
    </w:p>
    <w:p w:rsidR="00941183" w:rsidRDefault="00A15A31" w:rsidP="00941183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41183">
        <w:t xml:space="preserve">Statisztika I. KTA10071L, </w:t>
      </w:r>
      <w:r w:rsidR="00941183">
        <w:rPr>
          <w:rFonts w:ascii="Garamond" w:hAnsi="Garamond" w:cs="Garamond"/>
          <w:lang w:eastAsia="ar-SA"/>
        </w:rPr>
        <w:t>GT_AGML01</w:t>
      </w:r>
      <w:r w:rsidR="00941183" w:rsidRPr="00FF3E34">
        <w:rPr>
          <w:rFonts w:ascii="Garamond" w:hAnsi="Garamond" w:cs="Garamond"/>
          <w:lang w:eastAsia="ar-SA"/>
        </w:rPr>
        <w:t>5</w:t>
      </w:r>
      <w:r w:rsidR="00941183">
        <w:rPr>
          <w:rFonts w:ascii="Garamond" w:hAnsi="Garamond" w:cs="Garamond"/>
          <w:lang w:eastAsia="ar-SA"/>
        </w:rPr>
        <w:t>, GT_ANGL01</w:t>
      </w:r>
      <w:r w:rsidR="00941183" w:rsidRPr="00FF3E34">
        <w:rPr>
          <w:rFonts w:ascii="Garamond" w:hAnsi="Garamond" w:cs="Garamond"/>
          <w:lang w:eastAsia="ar-SA"/>
        </w:rPr>
        <w:t>5</w:t>
      </w:r>
    </w:p>
    <w:p w:rsidR="00A15A31" w:rsidRDefault="00A15A31" w:rsidP="00ED3B84">
      <w:pPr>
        <w:spacing w:line="360" w:lineRule="auto"/>
      </w:pPr>
    </w:p>
    <w:p w:rsidR="009F4B64" w:rsidRPr="0017771A" w:rsidRDefault="00301302" w:rsidP="007D3D44">
      <w:pPr>
        <w:pStyle w:val="Listaszerbekezds"/>
        <w:numPr>
          <w:ilvl w:val="0"/>
          <w:numId w:val="10"/>
        </w:numPr>
        <w:suppressAutoHyphens/>
        <w:spacing w:before="120"/>
        <w:ind w:left="426" w:hanging="426"/>
        <w:rPr>
          <w:rFonts w:ascii="Garamond" w:hAnsi="Garamond"/>
          <w:lang w:eastAsia="ar-SA"/>
        </w:rPr>
      </w:pPr>
      <w:r w:rsidRPr="009F4B64">
        <w:rPr>
          <w:b/>
          <w:smallCaps/>
        </w:rPr>
        <w:t xml:space="preserve">A kurzus oktatói: </w:t>
      </w:r>
    </w:p>
    <w:p w:rsidR="0017771A" w:rsidRPr="009F4B64" w:rsidRDefault="0017771A" w:rsidP="0017771A">
      <w:pPr>
        <w:pStyle w:val="Listaszerbekezds"/>
        <w:suppressAutoHyphens/>
        <w:spacing w:before="120"/>
        <w:ind w:left="426"/>
        <w:rPr>
          <w:rFonts w:ascii="Garamond" w:hAnsi="Garamond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1"/>
        <w:gridCol w:w="2586"/>
        <w:gridCol w:w="2666"/>
        <w:gridCol w:w="2421"/>
      </w:tblGrid>
      <w:tr w:rsidR="009F4B64" w:rsidTr="009F4B64">
        <w:tc>
          <w:tcPr>
            <w:tcW w:w="2521" w:type="dxa"/>
          </w:tcPr>
          <w:p w:rsidR="00A874C4" w:rsidRPr="009F4B64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Dr. Gáll József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(előadás)</w:t>
            </w:r>
          </w:p>
          <w:p w:rsidR="00A874C4" w:rsidRPr="009F4B64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egyetemi docens, IK</w:t>
            </w:r>
          </w:p>
          <w:p w:rsidR="00A874C4" w:rsidRPr="009F4B64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gall.jozsef ’kukac’ </w:t>
            </w: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A874C4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IK épület I216</w:t>
            </w:r>
          </w:p>
          <w:p w:rsidR="009F4B64" w:rsidRPr="009F4B64" w:rsidRDefault="00A874C4" w:rsidP="00A874C4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</w:rPr>
              <w:t>(fogadóóra: szerda 9.00-9.50, 14.10-15.00)</w:t>
            </w:r>
          </w:p>
        </w:tc>
        <w:tc>
          <w:tcPr>
            <w:tcW w:w="2586" w:type="dxa"/>
          </w:tcPr>
          <w:p w:rsidR="00A874C4" w:rsidRPr="009F4B64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Dr. Kuki Attila</w:t>
            </w:r>
          </w:p>
          <w:p w:rsidR="00A874C4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egyetemi adjunktus</w:t>
            </w: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, IK</w:t>
            </w:r>
          </w:p>
          <w:p w:rsidR="00A874C4" w:rsidRDefault="00BD43F7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kuki</w:t>
            </w:r>
            <w:bookmarkStart w:id="1" w:name="_GoBack"/>
            <w:bookmarkEnd w:id="1"/>
            <w:r>
              <w:rPr>
                <w:rFonts w:ascii="Garamond" w:hAnsi="Garamond"/>
                <w:sz w:val="22"/>
                <w:szCs w:val="22"/>
                <w:lang w:eastAsia="ar-SA"/>
              </w:rPr>
              <w:t>.attila</w:t>
            </w:r>
            <w:r w:rsidR="00A874C4">
              <w:rPr>
                <w:rFonts w:ascii="Garamond" w:hAnsi="Garamond"/>
                <w:sz w:val="22"/>
                <w:szCs w:val="22"/>
                <w:lang w:eastAsia="ar-SA"/>
              </w:rPr>
              <w:t xml:space="preserve"> ’kukac’ </w:t>
            </w:r>
            <w:r w:rsidR="00A874C4"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6038C5" w:rsidRPr="006038C5" w:rsidRDefault="00A874C4" w:rsidP="00A874C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IK Épület IF10</w:t>
            </w:r>
            <w:r w:rsidR="006038C5">
              <w:rPr>
                <w:rFonts w:ascii="Garamond" w:hAnsi="Garamond"/>
                <w:sz w:val="22"/>
                <w:szCs w:val="22"/>
                <w:lang w:eastAsia="ar-SA"/>
              </w:rPr>
              <w:t xml:space="preserve"> (fogadóóra: péntek 11-12, c</w:t>
            </w:r>
            <w:r w:rsidR="006038C5" w:rsidRPr="006038C5">
              <w:rPr>
                <w:rFonts w:ascii="Garamond" w:hAnsi="Garamond"/>
                <w:sz w:val="22"/>
                <w:szCs w:val="22"/>
                <w:lang w:eastAsia="ar-SA"/>
              </w:rPr>
              <w:t>sütörtök 13-14</w:t>
            </w:r>
            <w:r w:rsidR="006038C5">
              <w:rPr>
                <w:rFonts w:ascii="Garamond" w:hAnsi="Garamond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66" w:type="dxa"/>
          </w:tcPr>
          <w:p w:rsidR="004D0EA8" w:rsidRPr="009F4B64" w:rsidRDefault="004D0EA8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Dr. </w:t>
            </w:r>
            <w:r w:rsidR="00A874C4">
              <w:rPr>
                <w:rFonts w:ascii="Garamond" w:hAnsi="Garamond"/>
                <w:sz w:val="22"/>
                <w:szCs w:val="22"/>
                <w:lang w:eastAsia="ar-SA"/>
              </w:rPr>
              <w:t>Péter Gyöngyvér</w:t>
            </w:r>
          </w:p>
          <w:p w:rsidR="004D0EA8" w:rsidRDefault="00A874C4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egyetemi tanársegéd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, IK</w:t>
            </w:r>
          </w:p>
          <w:p w:rsidR="004D0EA8" w:rsidRDefault="00A874C4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peter.gyongyver</w:t>
            </w:r>
            <w:r w:rsidR="00176B85">
              <w:rPr>
                <w:rFonts w:ascii="Garamond" w:hAnsi="Garamond"/>
                <w:sz w:val="22"/>
                <w:szCs w:val="22"/>
                <w:lang w:eastAsia="ar-SA"/>
              </w:rPr>
              <w:t xml:space="preserve"> ’kukac’ </w:t>
            </w:r>
            <w:r w:rsidR="004D0EA8" w:rsidRPr="009F4B64">
              <w:rPr>
                <w:rFonts w:ascii="Garamond" w:hAnsi="Garamond"/>
                <w:sz w:val="22"/>
                <w:szCs w:val="22"/>
                <w:lang w:eastAsia="ar-SA"/>
              </w:rPr>
              <w:t>inf.unideb.hu</w:t>
            </w:r>
          </w:p>
          <w:p w:rsidR="009F4B64" w:rsidRDefault="00A874C4" w:rsidP="004D0EA8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IK Épület I231</w:t>
            </w:r>
          </w:p>
          <w:p w:rsidR="00A874C4" w:rsidRDefault="00A874C4" w:rsidP="00A874C4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(fogadóóra: k</w:t>
            </w:r>
            <w:r w:rsidRPr="00A874C4">
              <w:rPr>
                <w:rFonts w:ascii="Garamond" w:hAnsi="Garamond"/>
                <w:lang w:eastAsia="ar-SA"/>
              </w:rPr>
              <w:t>edd 13.00-14.00</w:t>
            </w:r>
            <w:r>
              <w:rPr>
                <w:rFonts w:ascii="Garamond" w:hAnsi="Garamond"/>
                <w:lang w:eastAsia="ar-SA"/>
              </w:rPr>
              <w:t>,</w:t>
            </w:r>
            <w:r w:rsidRPr="00A874C4">
              <w:rPr>
                <w:rFonts w:ascii="Garamond" w:hAnsi="Garamond"/>
                <w:lang w:eastAsia="ar-SA"/>
              </w:rPr>
              <w:t xml:space="preserve"> C</w:t>
            </w:r>
            <w:r>
              <w:rPr>
                <w:rFonts w:ascii="Garamond" w:hAnsi="Garamond"/>
                <w:lang w:eastAsia="ar-SA"/>
              </w:rPr>
              <w:t>c</w:t>
            </w:r>
            <w:r w:rsidRPr="00A874C4">
              <w:rPr>
                <w:rFonts w:ascii="Garamond" w:hAnsi="Garamond"/>
                <w:lang w:eastAsia="ar-SA"/>
              </w:rPr>
              <w:t>sütörtök 11.00-12.00</w:t>
            </w:r>
            <w:r>
              <w:rPr>
                <w:rFonts w:ascii="Garamond" w:hAnsi="Garamond"/>
                <w:lang w:eastAsia="ar-SA"/>
              </w:rPr>
              <w:t>)</w:t>
            </w:r>
          </w:p>
        </w:tc>
        <w:tc>
          <w:tcPr>
            <w:tcW w:w="2421" w:type="dxa"/>
          </w:tcPr>
          <w:p w:rsidR="009F4B64" w:rsidRDefault="009F4B64" w:rsidP="00301302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F4B64" w:rsidP="00943932">
      <w:pPr>
        <w:jc w:val="both"/>
        <w:rPr>
          <w:rFonts w:ascii="Garamond" w:hAnsi="Garamond"/>
          <w:b/>
          <w:smallCaps/>
        </w:rPr>
      </w:pPr>
      <w:r>
        <w:t>A hallgatók ismerjék meg a hipotézisvizsgálat, az idősorelemzés és a regressziószámítás azon alapproblémáit, amelyek széles körben alkalmazhatók a gazdasági elemzések során.</w:t>
      </w:r>
    </w:p>
    <w:p w:rsidR="00301302" w:rsidRPr="00117293" w:rsidRDefault="00301302" w:rsidP="00301302"/>
    <w:p w:rsidR="009F4B64" w:rsidRPr="009F4B64" w:rsidRDefault="00301302" w:rsidP="009F4B64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  <w:r w:rsidR="009F4B64">
        <w:rPr>
          <w:b/>
          <w:smallCaps/>
        </w:rPr>
        <w:t>:</w:t>
      </w:r>
    </w:p>
    <w:p w:rsidR="009F4B64" w:rsidRPr="009F4B64" w:rsidRDefault="009F4B64" w:rsidP="009F4B64">
      <w:pPr>
        <w:tabs>
          <w:tab w:val="left" w:pos="0"/>
        </w:tabs>
        <w:jc w:val="both"/>
        <w:rPr>
          <w:rFonts w:cs="Arial"/>
        </w:rPr>
      </w:pPr>
      <w:r w:rsidRPr="00C36B0A">
        <w:t>A legfontosabb próbák, várható</w:t>
      </w:r>
      <w:r>
        <w:t xml:space="preserve"> </w:t>
      </w:r>
      <w:r w:rsidRPr="00C36B0A">
        <w:t>értékre, szórásra, sokasági arányra, továbbá függetlenségre, homogenitásra, illeszkedés</w:t>
      </w:r>
      <w:r>
        <w:t xml:space="preserve">vizsgálatra vonatkozóan (z, t, F, </w:t>
      </w:r>
      <w:r>
        <w:sym w:font="Symbol" w:char="F063"/>
      </w:r>
      <w:r>
        <w:rPr>
          <w:vertAlign w:val="superscript"/>
        </w:rPr>
        <w:t>2-</w:t>
      </w:r>
      <w:r w:rsidRPr="00C36B0A">
        <w:t>próbák, szórásanalízis, binomiális próba)</w:t>
      </w:r>
      <w:r>
        <w:t xml:space="preserve">, determinisztikus idősorelemzés, sztochasztikus idősorelemzés, </w:t>
      </w:r>
      <w:r w:rsidR="000813BA">
        <w:t>két- és többváltozós regresszió</w:t>
      </w:r>
      <w:r>
        <w:t>számítás, korrelációszámítás, alk</w:t>
      </w:r>
      <w:r w:rsidR="000813BA">
        <w:t xml:space="preserve">almazások és esettanulmányok </w:t>
      </w:r>
      <w:r>
        <w:t>SPSS segítségével.</w:t>
      </w:r>
    </w:p>
    <w:p w:rsidR="009F4B64" w:rsidRPr="009F4B64" w:rsidRDefault="009F4B64" w:rsidP="009F4B64">
      <w:pPr>
        <w:rPr>
          <w:rFonts w:ascii="Garamond" w:hAnsi="Garamond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Tananyag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-6</w:t>
            </w:r>
            <w:r w:rsidRPr="00774EA2">
              <w:rPr>
                <w:rFonts w:ascii="Garamond" w:hAnsi="Garamond"/>
              </w:rPr>
              <w:t>. hét</w:t>
            </w:r>
          </w:p>
        </w:tc>
        <w:tc>
          <w:tcPr>
            <w:tcW w:w="3448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Hipotézisvizsgálatok, 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7.2 rész.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7-9. hét</w:t>
            </w:r>
          </w:p>
        </w:tc>
        <w:tc>
          <w:tcPr>
            <w:tcW w:w="3448" w:type="dxa"/>
          </w:tcPr>
          <w:p w:rsidR="009F4B64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Idősoranalízis, regressziószámítás alapjai.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5. és 8. fejezetek.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10-15. hét</w:t>
            </w:r>
          </w:p>
        </w:tc>
        <w:tc>
          <w:tcPr>
            <w:tcW w:w="3448" w:type="dxa"/>
          </w:tcPr>
          <w:p w:rsidR="009F4B64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Regressziószámítás.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8. fejezet.</w:t>
            </w:r>
          </w:p>
        </w:tc>
      </w:tr>
    </w:tbl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Default="00301302" w:rsidP="00301302">
      <w:pPr>
        <w:rPr>
          <w:rFonts w:ascii="Garamond" w:hAnsi="Garamond"/>
          <w:smallCaps/>
        </w:rPr>
      </w:pPr>
    </w:p>
    <w:p w:rsidR="000813BA" w:rsidRDefault="00301302" w:rsidP="000813BA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 xml:space="preserve">Az előadások látogatása ajánlott. A szemináriumok látogatása kötelező, legfeljebb 3 hiányzás megengedett, ennél több </w:t>
      </w:r>
      <w:r w:rsidR="000813BA">
        <w:rPr>
          <w:rFonts w:ascii="Garamond" w:hAnsi="Garamond" w:cs="Garamond"/>
          <w:lang w:eastAsia="ar-SA"/>
        </w:rPr>
        <w:t>hiányzás esetén a gyakorlati aláríás megtagadásra kerül.</w:t>
      </w:r>
    </w:p>
    <w:p w:rsidR="00330427" w:rsidRDefault="000813BA" w:rsidP="000813BA">
      <w:pPr>
        <w:suppressAutoHyphens/>
        <w:jc w:val="both"/>
        <w:rPr>
          <w:rFonts w:ascii="Garamond" w:hAnsi="Garamond"/>
        </w:rPr>
      </w:pPr>
      <w:r>
        <w:rPr>
          <w:rFonts w:ascii="Garamond" w:hAnsi="Garamond" w:cs="Garamond"/>
          <w:lang w:eastAsia="ar-SA"/>
        </w:rPr>
        <w:t>A</w:t>
      </w:r>
      <w:r w:rsidR="00301302" w:rsidRPr="00701685">
        <w:rPr>
          <w:rFonts w:ascii="Garamond" w:hAnsi="Garamond" w:cs="Garamond"/>
          <w:lang w:eastAsia="ar-SA"/>
        </w:rPr>
        <w:t>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gyakorlati feladatokat, továbbá e</w:t>
      </w:r>
      <w:r>
        <w:rPr>
          <w:rFonts w:ascii="Garamond" w:hAnsi="Garamond"/>
        </w:rPr>
        <w:t>zekhez kapcsolódóan SPSS output</w:t>
      </w:r>
      <w:r w:rsidR="00330427">
        <w:rPr>
          <w:rFonts w:ascii="Garamond" w:hAnsi="Garamond"/>
        </w:rPr>
        <w:t xml:space="preserve">okat is 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0813BA">
      <w:pPr>
        <w:suppressAutoHyphens/>
        <w:jc w:val="both"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0813BA" w:rsidRDefault="000813B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Érdemjegyek: 0-49% elégtelen</w:t>
      </w:r>
      <w:r w:rsidR="000813BA">
        <w:rPr>
          <w:rFonts w:ascii="Garamond" w:hAnsi="Garamond"/>
          <w:lang w:eastAsia="ar-SA"/>
        </w:rPr>
        <w:t xml:space="preserve"> (1)</w:t>
      </w:r>
      <w:r w:rsidRPr="00701685">
        <w:rPr>
          <w:rFonts w:ascii="Garamond" w:hAnsi="Garamond"/>
          <w:lang w:eastAsia="ar-SA"/>
        </w:rPr>
        <w:t>, 50-59% elégséges</w:t>
      </w:r>
      <w:r w:rsidR="000813BA">
        <w:rPr>
          <w:rFonts w:ascii="Garamond" w:hAnsi="Garamond"/>
          <w:lang w:eastAsia="ar-SA"/>
        </w:rPr>
        <w:t xml:space="preserve"> (2)</w:t>
      </w:r>
      <w:r w:rsidRPr="00701685">
        <w:rPr>
          <w:rFonts w:ascii="Garamond" w:hAnsi="Garamond"/>
          <w:lang w:eastAsia="ar-SA"/>
        </w:rPr>
        <w:t>, 60-69 % közepes</w:t>
      </w:r>
      <w:r w:rsidR="000813BA">
        <w:rPr>
          <w:rFonts w:ascii="Garamond" w:hAnsi="Garamond"/>
          <w:lang w:eastAsia="ar-SA"/>
        </w:rPr>
        <w:t xml:space="preserve"> (3)</w:t>
      </w:r>
      <w:r w:rsidRPr="00701685">
        <w:rPr>
          <w:rFonts w:ascii="Garamond" w:hAnsi="Garamond"/>
          <w:lang w:eastAsia="ar-SA"/>
        </w:rPr>
        <w:t>, 70-84% jó</w:t>
      </w:r>
      <w:r w:rsidR="000813BA">
        <w:rPr>
          <w:rFonts w:ascii="Garamond" w:hAnsi="Garamond"/>
          <w:lang w:eastAsia="ar-SA"/>
        </w:rPr>
        <w:t xml:space="preserve"> (4)</w:t>
      </w:r>
      <w:r w:rsidRPr="00701685">
        <w:rPr>
          <w:rFonts w:ascii="Garamond" w:hAnsi="Garamond"/>
          <w:lang w:eastAsia="ar-SA"/>
        </w:rPr>
        <w:t>, 85-100 jeles</w:t>
      </w:r>
      <w:r w:rsidR="000813BA">
        <w:rPr>
          <w:rFonts w:ascii="Garamond" w:hAnsi="Garamond"/>
          <w:lang w:eastAsia="ar-SA"/>
        </w:rPr>
        <w:t xml:space="preserve"> (5)</w:t>
      </w:r>
      <w:r w:rsidRPr="00701685">
        <w:rPr>
          <w:rFonts w:ascii="Garamond" w:hAnsi="Garamond"/>
          <w:lang w:eastAsia="ar-SA"/>
        </w:rPr>
        <w:t>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0813BA">
      <w:pPr>
        <w:spacing w:before="120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0813BA" w:rsidRPr="000813BA" w:rsidRDefault="000813BA" w:rsidP="000813BA">
      <w:pPr>
        <w:tabs>
          <w:tab w:val="left" w:pos="0"/>
        </w:tabs>
        <w:rPr>
          <w:rFonts w:cs="Arial"/>
        </w:rPr>
      </w:pPr>
      <w:r w:rsidRPr="000813BA">
        <w:rPr>
          <w:rFonts w:cs="Arial"/>
        </w:rPr>
        <w:t xml:space="preserve">HV (2008): Hunyadi László – Vita László: Statisztika I-II, Aula Kiadó, Budapest, 2008 </w:t>
      </w:r>
    </w:p>
    <w:p w:rsidR="000813BA" w:rsidRDefault="000813BA" w:rsidP="000813BA">
      <w:pPr>
        <w:tabs>
          <w:tab w:val="left" w:pos="0"/>
        </w:tabs>
        <w:ind w:left="990" w:hanging="990"/>
        <w:rPr>
          <w:rFonts w:cs="Arial"/>
        </w:rPr>
      </w:pPr>
    </w:p>
    <w:p w:rsidR="000813BA" w:rsidRPr="005E620B" w:rsidRDefault="000813BA" w:rsidP="000813BA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Továbbá az előadáson és a gyakorlaton elhangzottak.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0813BA" w:rsidRPr="000813BA" w:rsidRDefault="000813BA" w:rsidP="000813BA">
      <w:pPr>
        <w:tabs>
          <w:tab w:val="left" w:pos="0"/>
        </w:tabs>
        <w:jc w:val="both"/>
      </w:pPr>
      <w:r w:rsidRPr="000813BA">
        <w:t>Keresztély T., Sugár A. és Szarvas B.: Statisztika közgazdászoknak.</w:t>
      </w:r>
      <w:r>
        <w:t xml:space="preserve"> Példatár és feladatgyűjtemény, </w:t>
      </w:r>
      <w:r w:rsidRPr="000813BA">
        <w:t>Nemzeti Tankönyvkiadó 2005.</w:t>
      </w:r>
    </w:p>
    <w:p w:rsidR="00A868B4" w:rsidRDefault="00A868B4" w:rsidP="000813BA">
      <w:pPr>
        <w:tabs>
          <w:tab w:val="left" w:pos="0"/>
        </w:tabs>
        <w:ind w:left="990" w:hanging="990"/>
        <w:jc w:val="both"/>
        <w:rPr>
          <w:rFonts w:cs="Arial"/>
        </w:rPr>
      </w:pPr>
    </w:p>
    <w:p w:rsidR="000813BA" w:rsidRPr="000813BA" w:rsidRDefault="000813BA" w:rsidP="000813BA">
      <w:pPr>
        <w:tabs>
          <w:tab w:val="left" w:pos="0"/>
        </w:tabs>
        <w:ind w:left="990" w:hanging="990"/>
        <w:jc w:val="both"/>
        <w:rPr>
          <w:rFonts w:cs="Arial"/>
        </w:rPr>
      </w:pPr>
      <w:r w:rsidRPr="000813BA">
        <w:rPr>
          <w:rFonts w:cs="Arial"/>
        </w:rPr>
        <w:t>Hunyadi László – Mundruczó György – Vita László: Statisztika, Aula Kiadó, Budapest, 2001.</w:t>
      </w:r>
    </w:p>
    <w:p w:rsidR="00A868B4" w:rsidRDefault="00A868B4" w:rsidP="000813BA">
      <w:pPr>
        <w:tabs>
          <w:tab w:val="left" w:pos="0"/>
        </w:tabs>
        <w:jc w:val="both"/>
        <w:rPr>
          <w:lang w:val="en-GB"/>
        </w:rPr>
      </w:pPr>
    </w:p>
    <w:p w:rsidR="000813BA" w:rsidRPr="000813BA" w:rsidRDefault="000813BA" w:rsidP="000813BA">
      <w:pPr>
        <w:tabs>
          <w:tab w:val="left" w:pos="0"/>
        </w:tabs>
        <w:jc w:val="both"/>
        <w:rPr>
          <w:rFonts w:cs="Arial"/>
        </w:rPr>
      </w:pPr>
      <w:r w:rsidRPr="000813BA">
        <w:rPr>
          <w:lang w:val="en-GB"/>
        </w:rPr>
        <w:t xml:space="preserve">Anderson, Sweeney, Williams, Freeman and Shoesmith: Statistics for Business and Economics, Second edition, </w:t>
      </w:r>
      <w:r w:rsidRPr="000813BA">
        <w:t xml:space="preserve">ISBN: 1408018101, </w:t>
      </w:r>
      <w:r w:rsidRPr="000813BA">
        <w:rPr>
          <w:lang w:val="en-GB"/>
        </w:rPr>
        <w:t>Cengage Learning EMEA, 2010, UK, www.cengage.co.uk/aswsbe2</w:t>
      </w:r>
      <w:r w:rsidRPr="000813BA">
        <w:rPr>
          <w:rFonts w:cs="Arial"/>
        </w:rPr>
        <w:t xml:space="preserve"> </w:t>
      </w:r>
    </w:p>
    <w:p w:rsidR="00A868B4" w:rsidRDefault="00A868B4" w:rsidP="000813BA">
      <w:pPr>
        <w:jc w:val="both"/>
        <w:rPr>
          <w:rFonts w:cs="Arial"/>
        </w:rPr>
      </w:pPr>
    </w:p>
    <w:p w:rsidR="00301302" w:rsidRDefault="000813BA" w:rsidP="000813BA">
      <w:pPr>
        <w:jc w:val="both"/>
        <w:rPr>
          <w:rFonts w:ascii="Garamond" w:hAnsi="Garamond"/>
        </w:rPr>
      </w:pPr>
      <w:r w:rsidRPr="000813BA">
        <w:rPr>
          <w:rFonts w:cs="Arial"/>
        </w:rPr>
        <w:t>Kerékgyártó Gyné – Mundruczó Gy.: Statisztikai módszerek a gazdasági elemzésben, Aula Kiadó, Budapest, 1994.</w:t>
      </w:r>
    </w:p>
    <w:p w:rsidR="004A57A2" w:rsidRPr="007672A2" w:rsidRDefault="004A57A2" w:rsidP="000813BA">
      <w:pPr>
        <w:jc w:val="both"/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>Debrecen, 201</w:t>
      </w:r>
      <w:r w:rsidR="00286E90">
        <w:rPr>
          <w:rFonts w:ascii="Garamond" w:hAnsi="Garamond"/>
          <w:b/>
        </w:rPr>
        <w:t>7</w:t>
      </w:r>
      <w:r w:rsidRPr="00E82BE1">
        <w:rPr>
          <w:rFonts w:ascii="Garamond" w:hAnsi="Garamond"/>
          <w:b/>
        </w:rPr>
        <w:t xml:space="preserve">. </w:t>
      </w:r>
      <w:r w:rsidR="000813BA">
        <w:rPr>
          <w:rFonts w:ascii="Garamond" w:hAnsi="Garamond"/>
          <w:b/>
        </w:rPr>
        <w:t>február 15</w:t>
      </w:r>
      <w:r w:rsidRPr="00E82BE1">
        <w:rPr>
          <w:rFonts w:ascii="Garamond" w:hAnsi="Garamond"/>
          <w:b/>
        </w:rPr>
        <w:t>.</w:t>
      </w:r>
    </w:p>
    <w:p w:rsidR="0017771A" w:rsidRPr="00E82BE1" w:rsidRDefault="0017771A" w:rsidP="00301302">
      <w:pPr>
        <w:spacing w:before="120"/>
        <w:rPr>
          <w:rFonts w:ascii="Garamond" w:hAnsi="Garamond"/>
          <w:b/>
        </w:rPr>
      </w:pPr>
    </w:p>
    <w:p w:rsidR="000813BA" w:rsidRDefault="00301302" w:rsidP="000813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813BA">
        <w:rPr>
          <w:rFonts w:ascii="Garamond" w:hAnsi="Garamond"/>
        </w:rPr>
        <w:t xml:space="preserve">Dr. </w:t>
      </w:r>
      <w:r w:rsidR="007D7C45">
        <w:rPr>
          <w:rFonts w:ascii="Garamond" w:hAnsi="Garamond"/>
        </w:rPr>
        <w:t>Gáll József</w:t>
      </w:r>
      <w:r w:rsidR="000813BA">
        <w:rPr>
          <w:rFonts w:ascii="Garamond" w:hAnsi="Garamond"/>
        </w:rPr>
        <w:tab/>
      </w:r>
      <w:r w:rsidR="00286E90">
        <w:rPr>
          <w:rFonts w:ascii="Garamond" w:hAnsi="Garamond"/>
        </w:rPr>
        <w:t>, Dr Péter Gyöngyvér</w:t>
      </w:r>
      <w:r w:rsidR="000813BA">
        <w:rPr>
          <w:rFonts w:ascii="Garamond" w:hAnsi="Garamond"/>
        </w:rPr>
        <w:tab/>
      </w:r>
    </w:p>
    <w:p w:rsidR="00301302" w:rsidRDefault="00286E90" w:rsidP="000813BA">
      <w:pPr>
        <w:ind w:left="3545" w:firstLine="709"/>
        <w:rPr>
          <w:rFonts w:ascii="Garamond" w:hAnsi="Garamond"/>
        </w:rPr>
      </w:pPr>
      <w:r>
        <w:rPr>
          <w:rFonts w:ascii="Garamond" w:hAnsi="Garamond"/>
        </w:rPr>
        <w:t>előadók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D3B84" w:rsidRDefault="00301302" w:rsidP="000813BA">
      <w:pPr>
        <w:shd w:val="clear" w:color="auto" w:fill="D9D9D9"/>
        <w:jc w:val="center"/>
        <w:rPr>
          <w:smallCaps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  <w:bookmarkEnd w:id="0"/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01" w:rsidRDefault="00605801">
      <w:r>
        <w:separator/>
      </w:r>
    </w:p>
  </w:endnote>
  <w:endnote w:type="continuationSeparator" w:id="0">
    <w:p w:rsidR="00605801" w:rsidRDefault="0060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01" w:rsidRDefault="00605801">
      <w:r>
        <w:separator/>
      </w:r>
    </w:p>
  </w:footnote>
  <w:footnote w:type="continuationSeparator" w:id="0">
    <w:p w:rsidR="00605801" w:rsidRDefault="0060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7D5"/>
    <w:multiLevelType w:val="hybridMultilevel"/>
    <w:tmpl w:val="9B2EB9C2"/>
    <w:lvl w:ilvl="0" w:tplc="D3D41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2FEA"/>
    <w:multiLevelType w:val="hybridMultilevel"/>
    <w:tmpl w:val="B986DFE0"/>
    <w:lvl w:ilvl="0" w:tplc="A392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6088"/>
    <w:multiLevelType w:val="hybridMultilevel"/>
    <w:tmpl w:val="F9584DAA"/>
    <w:lvl w:ilvl="0" w:tplc="1A741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3"/>
    <w:rsid w:val="000041C4"/>
    <w:rsid w:val="000048EA"/>
    <w:rsid w:val="00054687"/>
    <w:rsid w:val="00061E4A"/>
    <w:rsid w:val="000813B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52C24"/>
    <w:rsid w:val="00167C1E"/>
    <w:rsid w:val="00174F1F"/>
    <w:rsid w:val="001750ED"/>
    <w:rsid w:val="00176B85"/>
    <w:rsid w:val="0017771A"/>
    <w:rsid w:val="00183EB2"/>
    <w:rsid w:val="00196636"/>
    <w:rsid w:val="00197B6F"/>
    <w:rsid w:val="001A4554"/>
    <w:rsid w:val="001A4C52"/>
    <w:rsid w:val="001E006E"/>
    <w:rsid w:val="001E577B"/>
    <w:rsid w:val="001F1406"/>
    <w:rsid w:val="002052D9"/>
    <w:rsid w:val="002103E9"/>
    <w:rsid w:val="002256C2"/>
    <w:rsid w:val="00240088"/>
    <w:rsid w:val="00245380"/>
    <w:rsid w:val="002635DE"/>
    <w:rsid w:val="00286E90"/>
    <w:rsid w:val="002902CB"/>
    <w:rsid w:val="00294E1A"/>
    <w:rsid w:val="00297E38"/>
    <w:rsid w:val="002D3DB9"/>
    <w:rsid w:val="00301302"/>
    <w:rsid w:val="0031029F"/>
    <w:rsid w:val="0032513F"/>
    <w:rsid w:val="00330427"/>
    <w:rsid w:val="00353AC4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D0EA8"/>
    <w:rsid w:val="004F3309"/>
    <w:rsid w:val="00510385"/>
    <w:rsid w:val="005566F3"/>
    <w:rsid w:val="00556A92"/>
    <w:rsid w:val="00566CA2"/>
    <w:rsid w:val="00567545"/>
    <w:rsid w:val="00575CF1"/>
    <w:rsid w:val="00593C7F"/>
    <w:rsid w:val="0059441E"/>
    <w:rsid w:val="00597EBB"/>
    <w:rsid w:val="005C14A3"/>
    <w:rsid w:val="005C79F2"/>
    <w:rsid w:val="005D3728"/>
    <w:rsid w:val="005D4A81"/>
    <w:rsid w:val="005F080B"/>
    <w:rsid w:val="0060236A"/>
    <w:rsid w:val="006038C5"/>
    <w:rsid w:val="00605801"/>
    <w:rsid w:val="006310F1"/>
    <w:rsid w:val="00662B08"/>
    <w:rsid w:val="00682E40"/>
    <w:rsid w:val="00684A09"/>
    <w:rsid w:val="006850F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43426"/>
    <w:rsid w:val="00753D73"/>
    <w:rsid w:val="007672A2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2C41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A424A"/>
    <w:rsid w:val="008B5486"/>
    <w:rsid w:val="008C2E9C"/>
    <w:rsid w:val="008C5C31"/>
    <w:rsid w:val="008F02D2"/>
    <w:rsid w:val="008F059A"/>
    <w:rsid w:val="008F20DC"/>
    <w:rsid w:val="0091484C"/>
    <w:rsid w:val="00920E63"/>
    <w:rsid w:val="00925AE3"/>
    <w:rsid w:val="00925CF1"/>
    <w:rsid w:val="00931FC5"/>
    <w:rsid w:val="00934825"/>
    <w:rsid w:val="00940801"/>
    <w:rsid w:val="00941183"/>
    <w:rsid w:val="00943932"/>
    <w:rsid w:val="00946FB0"/>
    <w:rsid w:val="009572FB"/>
    <w:rsid w:val="00961367"/>
    <w:rsid w:val="00971245"/>
    <w:rsid w:val="00972966"/>
    <w:rsid w:val="00982490"/>
    <w:rsid w:val="009F0EC5"/>
    <w:rsid w:val="009F4B64"/>
    <w:rsid w:val="00A033B9"/>
    <w:rsid w:val="00A03FAA"/>
    <w:rsid w:val="00A15A31"/>
    <w:rsid w:val="00A16EF1"/>
    <w:rsid w:val="00A26FF1"/>
    <w:rsid w:val="00A3277F"/>
    <w:rsid w:val="00A426DD"/>
    <w:rsid w:val="00A81F00"/>
    <w:rsid w:val="00A868B4"/>
    <w:rsid w:val="00A874C4"/>
    <w:rsid w:val="00AA2AC5"/>
    <w:rsid w:val="00AA5C07"/>
    <w:rsid w:val="00AB7775"/>
    <w:rsid w:val="00AF0B7B"/>
    <w:rsid w:val="00AF2FCD"/>
    <w:rsid w:val="00B101C2"/>
    <w:rsid w:val="00B10248"/>
    <w:rsid w:val="00B2161B"/>
    <w:rsid w:val="00B32910"/>
    <w:rsid w:val="00B67180"/>
    <w:rsid w:val="00B84C69"/>
    <w:rsid w:val="00BD4120"/>
    <w:rsid w:val="00BD43F7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647E"/>
    <w:rsid w:val="00CE702A"/>
    <w:rsid w:val="00CF0E33"/>
    <w:rsid w:val="00D23175"/>
    <w:rsid w:val="00D407CD"/>
    <w:rsid w:val="00D41C8E"/>
    <w:rsid w:val="00D7288C"/>
    <w:rsid w:val="00D84AB6"/>
    <w:rsid w:val="00DA550D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82BE1"/>
    <w:rsid w:val="00E860DE"/>
    <w:rsid w:val="00E95F4C"/>
    <w:rsid w:val="00EA5808"/>
    <w:rsid w:val="00EB64F8"/>
    <w:rsid w:val="00EC2380"/>
    <w:rsid w:val="00EC4365"/>
    <w:rsid w:val="00EC529F"/>
    <w:rsid w:val="00ED13EB"/>
    <w:rsid w:val="00ED3B84"/>
    <w:rsid w:val="00ED70F6"/>
    <w:rsid w:val="00F03C38"/>
    <w:rsid w:val="00F068DD"/>
    <w:rsid w:val="00F107A9"/>
    <w:rsid w:val="00F17499"/>
    <w:rsid w:val="00F23D0E"/>
    <w:rsid w:val="00F50511"/>
    <w:rsid w:val="00F7221E"/>
    <w:rsid w:val="00F94612"/>
    <w:rsid w:val="00FB6599"/>
    <w:rsid w:val="00FD256D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68133-D2B4-4547-8AF6-8738D17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23</cp:revision>
  <cp:lastPrinted>2009-01-28T07:56:00Z</cp:lastPrinted>
  <dcterms:created xsi:type="dcterms:W3CDTF">2016-03-04T09:15:00Z</dcterms:created>
  <dcterms:modified xsi:type="dcterms:W3CDTF">2017-03-07T08:57:00Z</dcterms:modified>
</cp:coreProperties>
</file>